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bookmarkStart w:id="1" w:name="_Hlk1584249"/>
      <w:r>
        <w:rPr>
          <w:rFonts w:hint="eastAsia" w:eastAsia="方正小标宋简体" w:cs="Times New Roman"/>
          <w:sz w:val="44"/>
          <w:szCs w:val="44"/>
        </w:rPr>
        <w:t>胜芳镇人民政府</w:t>
      </w:r>
      <w:bookmarkEnd w:id="1"/>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按照《预算法》、《地方预决算公开操作规程》和《河北省省级预算公开办法》规定，现将霸州市胜芳镇人民政府2019年部门预算公开如下：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autoSpaceDE w:val="0"/>
        <w:autoSpaceDN w:val="0"/>
        <w:adjustRightInd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镇党委、政府处于领导农业和农村工作的第一线，承担着建设社会主义新农村的光荣使命。</w:t>
      </w:r>
    </w:p>
    <w:p>
      <w:pPr>
        <w:autoSpaceDE w:val="0"/>
        <w:autoSpaceDN w:val="0"/>
        <w:adjustRightInd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镇各项工作的统一领导，充分发挥总揽全局、协调各方的领导核心作用。</w:t>
      </w:r>
    </w:p>
    <w:p>
      <w:pPr>
        <w:autoSpaceDE w:val="0"/>
        <w:autoSpaceDN w:val="0"/>
        <w:adjustRightInd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一盘棋”相互配合。同时，规范镇政府和村级组织的工作职能作用。</w:t>
      </w:r>
    </w:p>
    <w:p>
      <w:pPr>
        <w:autoSpaceDE w:val="0"/>
        <w:autoSpaceDN w:val="0"/>
        <w:adjustRightInd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pPr>
        <w:autoSpaceDE w:val="0"/>
        <w:autoSpaceDN w:val="0"/>
        <w:adjustRightInd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autoSpaceDE w:val="0"/>
        <w:autoSpaceDN w:val="0"/>
        <w:adjustRightInd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通过乡镇机构改革，切实减轻农村负担，让广大农民感到满意，得到实惠。</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rPr>
            </w:pPr>
            <w:r>
              <w:rPr>
                <w:rFonts w:hint="eastAsia" w:ascii="Times New Roman" w:hAnsi="Times New Roman" w:eastAsia="方正书宋_GBK" w:cs="Times New Roman"/>
                <w:szCs w:val="24"/>
              </w:rPr>
              <w:t>霸州市胜芳镇人民政府</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反映本部门当年全部收入。2019年预算收入1</w:t>
      </w:r>
      <w:r>
        <w:rPr>
          <w:rFonts w:ascii="仿宋_GB2312" w:hAnsi="Times New Roman" w:eastAsia="仿宋_GB2312" w:cs="Times New Roman"/>
          <w:sz w:val="32"/>
          <w:szCs w:val="32"/>
        </w:rPr>
        <w:t>0730.2</w:t>
      </w:r>
      <w:r>
        <w:rPr>
          <w:rFonts w:hint="eastAsia" w:ascii="仿宋_GB2312" w:hAnsi="Times New Roman" w:eastAsia="仿宋_GB2312" w:cs="Times New Roman"/>
          <w:sz w:val="32"/>
          <w:szCs w:val="32"/>
        </w:rPr>
        <w:t>万元，其中：一般公共预算收入1</w:t>
      </w:r>
      <w:r>
        <w:rPr>
          <w:rFonts w:ascii="仿宋_GB2312" w:hAnsi="Times New Roman" w:eastAsia="仿宋_GB2312" w:cs="Times New Roman"/>
          <w:sz w:val="32"/>
          <w:szCs w:val="32"/>
        </w:rPr>
        <w:t>0176.92</w:t>
      </w:r>
      <w:r>
        <w:rPr>
          <w:rFonts w:hint="eastAsia" w:ascii="仿宋_GB2312" w:hAnsi="Times New Roman" w:eastAsia="仿宋_GB2312" w:cs="Times New Roman"/>
          <w:sz w:val="32"/>
          <w:szCs w:val="32"/>
        </w:rPr>
        <w:t>万元，政府性基金预算收入5</w:t>
      </w:r>
      <w:r>
        <w:rPr>
          <w:rFonts w:ascii="仿宋_GB2312" w:hAnsi="Times New Roman" w:eastAsia="仿宋_GB2312" w:cs="Times New Roman"/>
          <w:sz w:val="32"/>
          <w:szCs w:val="32"/>
        </w:rPr>
        <w:t>53.28万元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eastAsia="仿宋_GB2312" w:cs="Times New Roman"/>
          <w:sz w:val="32"/>
          <w:szCs w:val="32"/>
        </w:rPr>
        <w:t>胜芳镇人民政府</w:t>
      </w:r>
      <w:r>
        <w:rPr>
          <w:rFonts w:hint="eastAsia" w:ascii="仿宋_GB2312" w:hAnsi="Times New Roman" w:eastAsia="仿宋_GB2312" w:cs="Times New Roman"/>
          <w:sz w:val="32"/>
          <w:szCs w:val="32"/>
        </w:rPr>
        <w:t>2019年度部门预算中支出预算的总体情况。2019年本部门支出预算1</w:t>
      </w:r>
      <w:r>
        <w:rPr>
          <w:rFonts w:ascii="仿宋_GB2312" w:hAnsi="Times New Roman" w:eastAsia="仿宋_GB2312" w:cs="Times New Roman"/>
          <w:sz w:val="32"/>
          <w:szCs w:val="32"/>
        </w:rPr>
        <w:t>0730.2</w:t>
      </w:r>
      <w:r>
        <w:rPr>
          <w:rFonts w:hint="eastAsia" w:ascii="仿宋_GB2312" w:hAnsi="Times New Roman" w:eastAsia="仿宋_GB2312" w:cs="Times New Roman"/>
          <w:sz w:val="32"/>
          <w:szCs w:val="32"/>
        </w:rPr>
        <w:t>万元，其中：基本支出3</w:t>
      </w:r>
      <w:r>
        <w:rPr>
          <w:rFonts w:ascii="仿宋_GB2312" w:hAnsi="Times New Roman" w:eastAsia="仿宋_GB2312" w:cs="Times New Roman"/>
          <w:sz w:val="32"/>
          <w:szCs w:val="32"/>
        </w:rPr>
        <w:t>829.27</w:t>
      </w:r>
      <w:r>
        <w:rPr>
          <w:rFonts w:hint="eastAsia" w:ascii="仿宋_GB2312" w:hAnsi="Times New Roman" w:eastAsia="仿宋_GB2312" w:cs="Times New Roman"/>
          <w:sz w:val="32"/>
          <w:szCs w:val="32"/>
        </w:rPr>
        <w:t>万元，包括：人员经费3</w:t>
      </w:r>
      <w:r>
        <w:rPr>
          <w:rFonts w:ascii="仿宋_GB2312" w:hAnsi="Times New Roman" w:eastAsia="仿宋_GB2312" w:cs="Times New Roman"/>
          <w:sz w:val="32"/>
          <w:szCs w:val="32"/>
        </w:rPr>
        <w:t>479.94万元</w:t>
      </w:r>
      <w:r>
        <w:rPr>
          <w:rFonts w:hint="eastAsia" w:ascii="仿宋_GB2312" w:hAnsi="Times New Roman" w:eastAsia="仿宋_GB2312" w:cs="Times New Roman"/>
          <w:sz w:val="32"/>
          <w:szCs w:val="32"/>
        </w:rPr>
        <w:t>和日常公用经费3</w:t>
      </w:r>
      <w:r>
        <w:rPr>
          <w:rFonts w:ascii="仿宋_GB2312" w:hAnsi="Times New Roman" w:eastAsia="仿宋_GB2312" w:cs="Times New Roman"/>
          <w:sz w:val="32"/>
          <w:szCs w:val="32"/>
        </w:rPr>
        <w:t>49.33万元</w:t>
      </w:r>
      <w:r>
        <w:rPr>
          <w:rFonts w:hint="eastAsia" w:ascii="仿宋_GB2312" w:hAnsi="Times New Roman" w:eastAsia="仿宋_GB2312" w:cs="Times New Roman"/>
          <w:sz w:val="32"/>
          <w:szCs w:val="32"/>
        </w:rPr>
        <w:t>；项目支出6</w:t>
      </w:r>
      <w:r>
        <w:rPr>
          <w:rFonts w:ascii="仿宋_GB2312" w:hAnsi="Times New Roman" w:eastAsia="仿宋_GB2312" w:cs="Times New Roman"/>
          <w:sz w:val="32"/>
          <w:szCs w:val="32"/>
        </w:rPr>
        <w:t>900.93</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主要为征地补偿款</w:t>
      </w:r>
      <w:r>
        <w:rPr>
          <w:rFonts w:hint="eastAsia" w:eastAsia="仿宋_GB2312" w:cs="Times New Roman"/>
          <w:sz w:val="32"/>
          <w:szCs w:val="32"/>
        </w:rPr>
        <w:t>、</w:t>
      </w:r>
      <w:r>
        <w:rPr>
          <w:rFonts w:hint="eastAsia" w:ascii="仿宋_GB2312" w:hAnsi="Times New Roman" w:eastAsia="仿宋_GB2312" w:cs="Times New Roman"/>
          <w:sz w:val="32"/>
          <w:szCs w:val="32"/>
        </w:rPr>
        <w:t>道路征迁补偿款、</w:t>
      </w:r>
      <w:r>
        <w:rPr>
          <w:rFonts w:hint="eastAsia" w:eastAsia="仿宋_GB2312" w:cs="Times New Roman"/>
          <w:sz w:val="32"/>
          <w:szCs w:val="32"/>
        </w:rPr>
        <w:t>开展传统文化活动经费</w:t>
      </w:r>
      <w:r>
        <w:rPr>
          <w:rFonts w:hint="eastAsia" w:ascii="仿宋_GB2312" w:hAnsi="Times New Roman" w:eastAsia="仿宋_GB2312" w:cs="Times New Roman"/>
          <w:sz w:val="32"/>
          <w:szCs w:val="32"/>
        </w:rPr>
        <w:t>、大气污染防治经费、重点坑塘治理资金等；上缴上级支出0万元，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2019年预算收支安排1</w:t>
      </w:r>
      <w:r>
        <w:rPr>
          <w:rFonts w:ascii="仿宋_GB2312" w:hAnsi="Times New Roman" w:eastAsia="仿宋_GB2312" w:cs="Times New Roman"/>
          <w:sz w:val="32"/>
          <w:szCs w:val="32"/>
        </w:rPr>
        <w:t>0730.2</w:t>
      </w:r>
      <w:r>
        <w:rPr>
          <w:rFonts w:hint="eastAsia" w:ascii="仿宋_GB2312" w:hAnsi="Times New Roman" w:eastAsia="仿宋_GB2312" w:cs="Times New Roman"/>
          <w:sz w:val="32"/>
          <w:szCs w:val="32"/>
        </w:rPr>
        <w:t>万元，较2018年预算减少4</w:t>
      </w:r>
      <w:r>
        <w:rPr>
          <w:rFonts w:ascii="仿宋_GB2312" w:hAnsi="Times New Roman" w:eastAsia="仿宋_GB2312" w:cs="Times New Roman"/>
          <w:sz w:val="32"/>
          <w:szCs w:val="32"/>
        </w:rPr>
        <w:t>226.53</w:t>
      </w:r>
      <w:r>
        <w:rPr>
          <w:rFonts w:hint="eastAsia" w:ascii="仿宋_GB2312" w:hAnsi="Times New Roman" w:eastAsia="仿宋_GB2312" w:cs="Times New Roman"/>
          <w:sz w:val="32"/>
          <w:szCs w:val="32"/>
        </w:rPr>
        <w:t>万元，其中：基本支出减少5</w:t>
      </w:r>
      <w:r>
        <w:rPr>
          <w:rFonts w:ascii="仿宋_GB2312" w:hAnsi="Times New Roman" w:eastAsia="仿宋_GB2312" w:cs="Times New Roman"/>
          <w:sz w:val="32"/>
          <w:szCs w:val="32"/>
        </w:rPr>
        <w:t>7.45</w:t>
      </w:r>
      <w:r>
        <w:rPr>
          <w:rFonts w:hint="eastAsia" w:ascii="仿宋_GB2312" w:hAnsi="Times New Roman" w:eastAsia="仿宋_GB2312" w:cs="Times New Roman"/>
          <w:sz w:val="32"/>
          <w:szCs w:val="32"/>
        </w:rPr>
        <w:t>万元，主要为环保工作人员调动减少人员工资支出；项目支出减少4</w:t>
      </w:r>
      <w:r>
        <w:rPr>
          <w:rFonts w:ascii="仿宋_GB2312" w:hAnsi="Times New Roman" w:eastAsia="仿宋_GB2312" w:cs="Times New Roman"/>
          <w:sz w:val="32"/>
          <w:szCs w:val="32"/>
        </w:rPr>
        <w:t>169.08</w:t>
      </w:r>
      <w:r>
        <w:rPr>
          <w:rFonts w:hint="eastAsia" w:ascii="仿宋_GB2312" w:hAnsi="Times New Roman" w:eastAsia="仿宋_GB2312" w:cs="Times New Roman"/>
          <w:sz w:val="32"/>
          <w:szCs w:val="32"/>
        </w:rPr>
        <w:t>万元，主要为减少高低压线路改造工程款项目支出。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ascii="仿宋_GB2312" w:hAnsi="Times New Roman" w:eastAsia="仿宋_GB2312" w:cs="Times New Roman"/>
          <w:sz w:val="32"/>
          <w:szCs w:val="32"/>
        </w:rPr>
        <w:t>349.33</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2019年，我部门“三公”经费预算安排1</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万元，其中：因公出国（境）费0万元；公务用车购置及运维费1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万元（其中：公务用车购置费0万元，公务用车运行维护费1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万元)；公务接待费2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万元，较2018年“三公”经费减少5</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万元，主要是因为因公出国（境）费与2018年持平，无增减变化；公务用车购置费减少</w:t>
      </w:r>
      <w:r>
        <w:rPr>
          <w:rFonts w:ascii="仿宋_GB2312" w:hAnsi="Times New Roman" w:eastAsia="仿宋_GB2312" w:cs="Times New Roman"/>
          <w:sz w:val="32"/>
          <w:szCs w:val="32"/>
        </w:rPr>
        <w:t>58</w:t>
      </w:r>
      <w:r>
        <w:rPr>
          <w:rFonts w:hint="eastAsia" w:ascii="仿宋_GB2312" w:hAnsi="Times New Roman" w:eastAsia="仿宋_GB2312" w:cs="Times New Roman"/>
          <w:sz w:val="32"/>
          <w:szCs w:val="32"/>
        </w:rPr>
        <w:t>万元，减少原因为我部门本年没有购置公务用车计划；公务用车运行维护费</w:t>
      </w:r>
      <w:bookmarkStart w:id="2" w:name="_Hlk1585923"/>
      <w:r>
        <w:rPr>
          <w:rFonts w:hint="eastAsia" w:ascii="仿宋_GB2312" w:hAnsi="Times New Roman" w:eastAsia="仿宋_GB2312" w:cs="Times New Roman"/>
          <w:sz w:val="32"/>
          <w:szCs w:val="32"/>
        </w:rPr>
        <w:t>与2018年持平，无增减变化</w:t>
      </w:r>
      <w:bookmarkEnd w:id="2"/>
      <w:r>
        <w:rPr>
          <w:rFonts w:hint="eastAsia" w:ascii="仿宋_GB2312" w:hAnsi="Times New Roman" w:eastAsia="仿宋_GB2312" w:cs="Times New Roman"/>
          <w:sz w:val="32"/>
          <w:szCs w:val="32"/>
        </w:rPr>
        <w:t>；公务接待费与2018年持平，无增减变化。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3" w:name="_Toc471398463"/>
      <w:r>
        <w:rPr>
          <w:rFonts w:hint="eastAsia" w:ascii="楷体_GB2312" w:hAnsi="Times New Roman" w:eastAsia="楷体_GB2312" w:cs="Times New Roman"/>
          <w:b/>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是实施“十三五”规划的关键之年，全镇也将步入转型发展的重要时期。对此，我镇将继续按照市委市政府的统一部署，进一步巩固“两学一做”学习教育成果，凝心聚力，攻坚克难，努力实现胜芳经济社会新的更大发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们将深入学习贯彻党的十九大、十九届三中全会、省委九届七次全会和廊坊市委六届五次全会精神，坚持以习近平新时代中国特色社会主义思想为统领,全面贯彻落实霸州市委市政府工作部署，坚持“五位一体”总体布局和“四个全面”战略布局，坚持稳中求进工作总基调，坚持新发展理念，牢牢把握意识形态领导权，大力推动产业升级和经济转型步伐，提升城市建设和社会管理水平，加大环境治理和生态保护力度，促进文化繁荣和旅游产业发展，加强基层组织和党风廉政建设，增进民生福祉和构建和谐社会，奋力开创新时代加快建设经济强镇、美丽胜芳新局面。</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bookmarkEnd w:id="3"/>
    <w:p>
      <w:pPr>
        <w:jc w:val="center"/>
        <w:outlineLvl w:val="0"/>
        <w:rPr>
          <w:rFonts w:ascii="方正小标宋_GBK" w:eastAsia="方正小标宋_GBK"/>
          <w:color w:val="FFFFFF"/>
          <w:sz w:val="32"/>
        </w:rPr>
      </w:pPr>
      <w:bookmarkStart w:id="4" w:name="_Toc1034008"/>
      <w:r>
        <w:rPr>
          <w:rFonts w:hint="eastAsia" w:ascii="方正小标宋_GBK" w:eastAsia="方正小标宋_GBK"/>
          <w:sz w:val="32"/>
        </w:rPr>
        <w:t>部门职责-工作活动绩效目标</w:t>
      </w:r>
      <w:r>
        <w:rPr>
          <w:rStyle w:val="9"/>
          <w:rFonts w:ascii="方正小标宋_GBK" w:eastAsia="方正小标宋_GBK"/>
          <w:color w:val="FFFFFF"/>
          <w:sz w:val="32"/>
        </w:rPr>
        <w:footnoteReference w:id="0" w:customMarkFollows="1"/>
        <w:sym w:font="Symbol" w:char="F020"/>
      </w:r>
      <w:bookmarkEnd w:id="4"/>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951霸州市胜芳镇</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紧紧围绕乡政府中心工作，积极协调乡领导谋大事，解难事，不断提高参政水平，努力为领导提供服务层次和优质服务。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137.00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协助乡政府领导组织起草或审核以乡政府、乡政府办公室名义发布的公文；办理乡政府各部门和乡镇报送的文电；对乡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采取保障乡政府领导和机关工作办公环境的措施，提升了服务管理水平，保障了乡领导和机关工作的正常运转。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二、信访事务管理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30.87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调研提出信访工作对策建议；督促检查和指导全乡信访工作；机关日常工作。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1、其他综合事务管理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30.87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进一步提高信访干部业务能力；吸收可行建议，改进信访工作；提高信访信息化应用水平。保障机要邮件正常传递和信访群众服务中心正常运转；确保会议正常召开。</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其他各项综合实务工作完成率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三、纪检事务管理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纪检政策宣传，办公场所运行维护。</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为案件查办、纪检监察业务、党风廉政建设提高服务和保障。</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宣传党的纪检工作方针、政策，教育纪检干部遵守和执行党章以及党内法规、党的路线方针政策和决议、国家法规等，全面提高纪检监察干部队伍素质；负责办公场所运行维护。</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为案件查办、纪检监察业务、党风廉政建设提高服务和保障。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四、乡委事务管理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乡委系统房产、基建、维修、物资分配和其他行政事务工作；乡委领导同志和部分原乡级领导同志，以及离退休同志的生活服务和阅文、参加有关活动的事务服务工作。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乡委系统房产、基建、维修、物资分配和其他行政事务工作；乡委领导同志和部分原乡级领导同志，以及离退休同志的生活服务和阅文、参加有关活动的事务服务工作。</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乡统管住宅区公共部位物业管理；乡委各住宅区的房地产管理和公共设施维护；乡委领导同志、部分原乡级领导同志的生活服务和有关事务服务工作。组织协调中央和乡暑期办公工作。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保障机关工作任务高质高效</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五、组织事务管理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负责做好部机关机要、文秘、信访、会议、固定资产等工作的计划安排和管理；负责机关自身建设；负责老干部综合服务和保障工作；负责组织史征编工作；组织系统信息化建设。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做好部机关机要、文秘、信访、会议、固定资产等工作的计划安排和管理；干部、人事政策科学合理；做好老干部综合服务和保障工作；完成组织史征编工作；信息系统运行无障碍。</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六、城乡建设管理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5271.26</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负责市政公用设施建设、安全和应急管理；负责镇、乡村庄规划的编制和实施；负责农村住房建设、住房安全和危房改造；改善小城镇和村庄人居环境。</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加强管理，提高城市承载能力和宜居度。加强村镇建设，改善农村人居环境，实现城乡统筹发展。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1、市政公用设施建设与管理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4995.64</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市政公用事业建设、市政公用设施安全和应急管理</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市政公用事业基础设施建设及维护工作目标完成率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2、市政公用设施建设与管理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组织开展星级公园、园林式单位、小区、街道创建活动，负责城市公园绿地、城市植树、城镇古树名木和风景名胜资源保护等工作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城市公园绿地、城市植树、城镇古树名木和风景名胜资源保护完成率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3、城市容貌环境综合整治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275.62</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推进洁净城市创建进程，加强大气污染治理力度。</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市容环境治理完成率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4、推进城镇化建设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农村住房建设、住房安全和危房改造，推进小城镇村庄人居环境改善，指导国家级重点镇及省级重点镇的建设；做好乡城规划、环境质量、居住水平、产业聚集、风貌特色、综合管理、城建投融资等指导工作，全面推进乡城建设；协调和指导推进城镇化工作，城市建设投融资体制改革。</w:t>
            </w:r>
          </w:p>
        </w:tc>
        <w:tc>
          <w:tcPr>
            <w:tcW w:w="2976" w:type="dxa"/>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垃圾处理率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5、市政公用设施建设与管理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组织开展星级公园、园林式单位、小区、街道创建活动，负责城市公园绿地、城市植树、城镇古树名木和风景名胜资源保护等工作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星级公园、园林式单位、小区创建数量（个）</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6、城市容貌环境综合整治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推进洁净城市创建进程，加强大气污染治理力度。</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机械化清扫率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7、推进城镇化建设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农村住房建设、住房安全和危房改造，推进小城镇村庄人居环境改善；推进城镇化工作，开展城乡规划提升、基础设施建设、公共服务设施配套、环境容貌治理、建筑能效提升等工作，全面提升乡城建设质量和水平。</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加强村镇建设，改善农村人居环境，实现城乡统筹发展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危房改造完成率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七、文化艺术管理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194.17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管理和指导全乡文化建设，推进文化发展环境能力建设，提供公共文化服务、文化艺术资源建设和文化艺术生产。</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1、公共文化服务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194.17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公共文化场馆免费率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2、公共文化服务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公共文化服务活动数量（场次）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八、文化政务管理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订并组织实施全乡文化艺术事业发展规划,开展全乡文化事业调查研究，履行文化市场监管职责，加快文化产业发展，加强非物质文化遗产保护和优秀民族文化的传承普及，开展文化宣传、交流、合作、保护等业务管理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九、农业资源保护和生态建设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177.29</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1、农村能源清洁开发利用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177.29</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实现农作物秸秆的高效能源化利用，减少大气污染排放，改善农村环境。</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大气污染物减排完成率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十、农业政务管理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136.50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开展农业宣传，推动农业政策落实。推动各项农业工作的开展。</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保障各项农业工作的正常运行</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136.50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调研提出规划和建议，工作部署、协调推动、普查统计、督促指导、行政审批、业务监管及乡委、政府交办的其他事项等行政管理事项。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加强管理，圆满完成乡委、乡政府交办任务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十一、水利政务管理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依法依规履行机关日常管理职责，确保水利工作正常运行。</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水利规划，组织开展全乡水利行业安全生产监管工作，工作部署、协调推动、普查统计、督促指导、行政审批、业务监管、水利执法、法制宣传、处理水事纠纷，监督检查、人事管理及其他依法行政管理活动。乡委、政府交办的其他事项等行政管理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依法依规完成工作任务，推进科学决策</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十二、社会救助、救灾管理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完善城乡社会救助制度，实施分类救助，应保尽保,动态管理。完善全乡自然灾害救助应急体系。实施分类救助，保障受灾群众基本生活。</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1、自然灾害救助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物资保障受灾群众人数覆盖率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十三、卫生计生政务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45.20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保障卫生计生事业稳定发展。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1、卫生计生综合业务管理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45.20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开展卫生计生规划、资源配置、统计、法制、政策研究、宣传教育、舆情监测等工作。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为顺利开展各项卫生计生工作提供有效保障，确保卫生计生事业协调可持续发展。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卫生计生宣传教育完成率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十四、规划政务管理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负责规划综合业务管理和机关综合事务管理。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全乡城乡规划人才队伍建设，提高人才业务素质，提高行业水平。提升机关及行业信息化水平，保障各类业务系统安全稳定运行；加大信息宣传力度，创造良好舆论氛围。规范审批行为，推进政务公开，增加服务意识，提高工作效率。</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调研提出规划和建议，工作部署、协调推动、普查统计、督促指导、行政审批、业务监管及乡委、政府交办的其他事项等行政管理事项。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加强管理，圆满完成乡委、乡政府交办任务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十五、环保政务管理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120.58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负责环境保护系统综合业务管理和机关综合事务管理。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加强环保保护管理工作。</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120.58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完成全乡环境保护各项工作任务。保障各项业务工作畅通。</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十六、教育政务管理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41.00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负责教育系统综合业务管理和机关综合事务管理。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依法行政，构建人民群众满意、勤政廉洁的政府部门；保障工作正常高效运行，相关工作顺利开展。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41.00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做好教育政策制定、教育改革、教育科研、教育信息化建设等工作。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做好各项教育管理工作。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十七、政务管理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312.89</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承担系统综合业务管理和部门综合事务管理。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促进全乡机关事务管理工作科学发展。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312.89</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指导全乡机关后勤工作；开展全乡机关事务工作人员业务培训；按规定对乡直机关事业单位工人岗位技术等级考核；指导、协调乡直机关事业单位绿化、爱国卫生、交通安全、环境综合整治等社会事务。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推进全乡机关事务管理工作科学发展；提高管理、保障、服务水平；协调推进改革进程，理顺全乡机关事务管理工作体制。</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十八、推进新农村建设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通过实施农村面貌改造提升行动和开展新民居中心村示范点建设，改善农村环境面貌，提升农民生产生活条件。</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1、美丽乡村建设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围绕农村改造工作要点，突出重点，因地制宜，按照分期分批推进的要求，每年选定一批重点村实施改造提升。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重点村改造提升任务完成率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2、美丽乡村建设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围绕农村改造15件实事，突出重点，因地制宜，按照分期分批推进的要求，每年选定一批重点村实施改造提升。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美丽乡村建设达标率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3、新民居中心村建设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按照新民居中心村工程建设周期，建设一批多种类型、有示范意义的新民居中心村示范点。</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4、新民居中心村建设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按照新民居中心村工程建设周期，建设一批多种类型、有示范意义的新民居中心村示范点。</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十九、林业生态建设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组织全乡造林绿化、退耕还林、防沙治沙、防治水土流失、应对气候变化等工作，组织沙尘暴灾害预测预报和应急处置。加强森林资源保护管理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完成省市下达和乡委乡政府制定的造林任务及全乡森林覆盖率考核目标。有效改善生态环境。</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1、林业自然保护区、湿地、森林公园保护与建设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依法对森林、荒漠化和陆生野生动物类型、湿地类型等自然保护区以及湿地公园、保护小区的建设和管理，开展湿地保护与恢复，监督湿地、森林公园合理利用。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加强林业自然保护区、森林公园管理、加强湿地保护恢复。</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森林公园的建设和管理任务完成率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二十、水利水电项目建设与管理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337.00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1、水利工程运行与维护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257.00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2、农田水利建设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建设小型农田水利设施，实施节水灌溉、推广综合节水技术。</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发展节水灌溉面积，推广综合节水技术</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小型农田水利设施建设完成量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3、保障农村饮水安全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解决农村饮用水安全人口情况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二十一、水利科技支撑和公共服务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组织指导全省水利事业建设的科技创新和技术示范推广，为水利事业科学发展提供公共支撑。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研制并示范推广水利工程和管理技术，提高水利事业管理水平。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1、防汛抗旱</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负责全乡防汛抗旱组织管理、应急调度，储备管理防汛抗旱物资，提高全乡抗御水旱灾害能力。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工程完成量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二十二、社会救助、救灾管理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完善城乡社会救助制度，实施分类救助，应保尽保,动态管理。完善全乡自然灾害救助应急体系。实施分类救助，保障受灾群众基本生活。</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1、困难群众基本生活保障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符合条件的城乡居民最低生活保障、五保户的集中供养和分散供养、临时生活救助工作、全乡城镇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城乡居民低保保障率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2、困难群众基本生活保障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符合条件的城乡居民最低生活保障、五保户的集中供养和分散供养、临时生活救助工作、全乡城镇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五保供养保障率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二十三、民政政务管理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全乡民政事业发展；负责民政事业资金管理、国有资产管理、内部审计、统计管理工作；组织民政系统干部培训教育等工作；开展全乡民政系统信息化建设工作；负责本级政务公开、新闻宣传工作；承办群众的来信来访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建立和维护乡民政系统政务公开平台，推进民政政府信息公开、政务公开，完成在乡委、乡政府系统信息考核任务；搞好群众来信来访工作，杜绝群体上访事件；民主行风评议保持全乡领先地位。</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组织开展全乡民政行政执法监督检查工作；负责行政许可、行政处罚听证工作；组织民政政务公开和新闻宣传。</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建立和维护乡民政系统政务公开平台，推进民政政府信息公开、政务公开；搞好群众来信来访工作，杜绝群体上访事件。促进贫困地区的社会经济发展,人民生活水平得到提高。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二十四、工会事务管理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指导全乡工会自身建设；监督检查党员干部廉政建设；负责工会干部管理制度和培训规划制定以及培训工作；负责工会经费和工会资产的管理、审查、审计工作；承担乡委、乡政府及省市总工会交办的其他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加强组织和干部队伍建设，提高干部业务素质和大型企事业单位工会领导干部水平，促进工会事业发展。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指导全乡工会自身改革和建设；负责工会干部管理制度和培训规划制定以及培训工作；承担乡委、乡政府及省市总工会交办的其他事项；监督检查工会党员干部廉政建设情况；负责工会经费和工会资产的管理、审查、审计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切实提高工会综合事务管理水平，保障单位的正常运转</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二十五、人大会议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1、人大会议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会议筹备及会务工作的完成率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二十六、选举和任免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检查监督代表法、选举法及其实施办法的贯彻实施；承担人大换届选举及人事任免服务工作；负责对乡政府组成人员和乡级人民法院、乡人民检察院主要负责人的目标责任书、述职报告的督办工作。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确保换届选举工作顺利完成，实现省市和乡委人事安排部署；提高组织换届选举工作水平。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1、换届选举及人事任免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乡人大换届选举、乡级国家机关领导人的选举和常委会人事任免的服务工作；指导市、乡、乡人大换届选举工作；负责对乡政府组成人员和乡高级人民法院、乡人民检察院主要负责人的目标责任书、述职报告的督办工作；对换届选举人员进行培训。</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确保乡人大换届选举工作顺利完成，提高组织换届选举工作水平；高质量完成国家机关领导人选举和常委会人事任免服务工作；高效督办有关部门负责人的目标责任书和述职报告。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换届选举工作完成率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二十七、人大事务管理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新闻宣传和机关信息化建设与维护；人代会及常委会会议表决系统、机关基础设施建设与维护；乡人大机关日常管理事务；公报、年检的编辑印刷；信访工作。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促进机关自身建设、服务保障能力进一步提升。</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机关文书档案印信管理和保密，机关人事、离退休人员服务，财务、基建、后勤服务及警卫工作；机关信息建设和办公自动化建设；负责对全乡人大系统信息建设和办公自动化建设的指导、规划、组织、协调和人员培训工作；纪检组办案及培训；领导交办的其他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机关基础设施设备正常运转，信息化保障、老干部服务保障能力进一步提高。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二十八、信访问题处理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负责正常信访、非访、突发性及群体性事件的办理；提供相关服务保障；协助上级信访局处理越级上访；信访事项督查、复查复核、听证；负责乡委乡政府交办的其他事项。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畅通信访渠道，减少信访案件，维护社会和谐稳定。</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1、处置非访、突发性及群体性事件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协助公安机关维护重点区域的正常工作秩序；处置影响社会政治稳定的各类非访、突发性、群体性事件；负责组织协调、稳控劝返、服务保障我乡越级非访工作。承办乡联席办的日常工作。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妥善处置非正常访，维护社会大局和谐稳定。</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信访事项按期结案率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二十九、统计政务管理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保障机关日常运转，健全全乡统计法制建设，指导全乡统计专业技术队伍建设。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保障统计信息化建设、统计执法等全乡统计专业技术队伍建设。</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健全全乡统计法制建设，严格查处统计违法现象，开展统计基层基础建设，指导全乡统计专业技术队伍建设。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开展统计执法检查和培训工作，防范统计违法现象的发生；拟定全乡统计教育培训制度、规划等。</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三十、党风廉政建设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组织协调全乡党风廉政建设和反腐败宣传、教育、课题研究等工作；承担乡委惩治和预防腐败体系领导小组办公室和乡预防腐败局的日常工作。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1、党风廉政建设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组织协调全乡党风廉政建设和反腐败宣传教育工作，开展对党员、公务员的廉洁自律教育。承担乡委惩治和预防腐败体系领导小组办公室和乡预防腐败局的日常工作。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教育活动完成率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三十一、宣传思想工作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92.17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乡理论研究、理论学习、理论宣传工作；宏观指导精神产品创作生产；规划组织思想政治工作；指导协调宣传思想文化事业发展；加强舆论舆情引导管理；宏观指导协调互联网宣传和信息内容管理；加强精神文明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牢牢掌握意识形态工作领导权、管理权、话语权，弘扬主旋律，汇聚正能量，为全乡经济社会发展提供有力的思想保证、精神动力、舆论支持。</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1、精神文明建设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92.17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规划部署全乡精神文明创建工作，组织指导全乡群众性精神文明创建活动。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全乡城乡文明程度显著提升，和谐向善的社会风气逐步形成。</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三十二、宣传事务管理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制定全乡宣传思想文化发展规划和政策制度并组织实施，开展宣传文化业务管理，加强政策业务宣传等。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重点工作督察督办率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三十三、团委事务管理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负责团乡委综合业务管理。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工作任务圆满完成，促进共青团事业发展。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参与制定全乡的青少年事业发展规划和青少年工作方针、政策;承担乡委、乡政府和省市团委交办的有关事项。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高质量完成全乡青少年发展规划和方针政策的制定，圆满完成乡委、乡政府和省市团委交办的各项任务。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受到乡委、省市团领导肯定性批示数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三十四、妇联综合业务管理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加强妇联基层组织建设和机关党建，做好机关基础设施建设与维护，推进机关信息化建设，做好乡政府妇儿工委办公室工作，指导所属事业单位发展，为妇女儿童事业发展提供有力保障。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不断加强妇联组织自身建设，提升妇联干部服务妇女的能力和水平，保障妇女维权、妇女发展工作正常有序开展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开展”三有两突出“基层组织示范创建，加强妇联组织自身建设。加强与社会各界的联系，推动全社会为妇女儿童办实事。指导所属单位及各类协会工作。承办乡委、乡政府交办的有关工作。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妇联基层组织的组织、阵地、队伍建设等得到加强，妇联干部工作能力和服务水平提高。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创建乡级示范妇女之家数（家）</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三十五、维护社会稳定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指导、协调和督导全乡各级各部门排查、化解影响社会的重大不稳定隐患、群体性事件和突发事件及影响社会稳定的事件。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1、重大活动安保</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做好我乡各类重大活动间的安全保卫工作，不断完善相关工作机制。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各项工作机制进一步完善健全，有效维护我省社会大局稳定，确保社会秩序良好。</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重大安保任务完成率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&lt;70%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5" w:name="_Toc471398468"/>
      <w:r>
        <w:rPr>
          <w:rFonts w:hint="eastAsia" w:ascii="仿宋_GB2312" w:hAnsi="Times New Roman" w:eastAsia="仿宋_GB2312" w:cs="Times New Roman"/>
          <w:sz w:val="32"/>
          <w:szCs w:val="32"/>
        </w:rPr>
        <w:t>2019年，我部门安排政府采购预算2</w:t>
      </w:r>
      <w:r>
        <w:rPr>
          <w:rFonts w:ascii="仿宋_GB2312" w:hAnsi="Times New Roman" w:eastAsia="仿宋_GB2312" w:cs="Times New Roman"/>
          <w:sz w:val="32"/>
          <w:szCs w:val="32"/>
        </w:rPr>
        <w:t>904.06</w:t>
      </w:r>
      <w:r>
        <w:rPr>
          <w:rFonts w:hint="eastAsia" w:ascii="仿宋_GB2312" w:hAnsi="Times New Roman" w:eastAsia="仿宋_GB2312" w:cs="Times New Roman"/>
          <w:sz w:val="32"/>
          <w:szCs w:val="32"/>
        </w:rPr>
        <w:t>万元。具体内容见下表。</w:t>
      </w:r>
    </w:p>
    <w:p>
      <w:pPr>
        <w:ind w:firstLine="640" w:firstLineChars="200"/>
        <w:rPr>
          <w:rFonts w:ascii="仿宋_GB2312" w:hAnsi="Times New Roman" w:eastAsia="仿宋_GB2312" w:cs="Times New Roman"/>
          <w:color w:val="FF0000"/>
          <w:sz w:val="32"/>
          <w:szCs w:val="32"/>
        </w:rPr>
      </w:pPr>
    </w:p>
    <w:bookmarkEnd w:id="5"/>
    <w:p>
      <w:pPr>
        <w:jc w:val="center"/>
        <w:outlineLvl w:val="0"/>
        <w:rPr>
          <w:rFonts w:hint="eastAsia" w:ascii="方正小标宋_GBK" w:eastAsia="方正小标宋_GBK"/>
          <w:sz w:val="32"/>
        </w:rPr>
      </w:pPr>
      <w:bookmarkStart w:id="6" w:name="_Toc1034014"/>
      <w:r>
        <w:rPr>
          <w:rFonts w:hint="eastAsia" w:ascii="方正小标宋_GBK" w:eastAsia="方正小标宋_GBK"/>
          <w:sz w:val="32"/>
        </w:rPr>
        <w:t>部门政府采购预算</w:t>
      </w:r>
      <w:bookmarkEnd w:id="6"/>
    </w:p>
    <w:tbl>
      <w:tblPr>
        <w:tblStyle w:val="10"/>
        <w:tblW w:w="137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7"/>
        <w:gridCol w:w="984"/>
        <w:gridCol w:w="867"/>
        <w:gridCol w:w="878"/>
        <w:gridCol w:w="666"/>
        <w:gridCol w:w="666"/>
        <w:gridCol w:w="883"/>
        <w:gridCol w:w="1054"/>
        <w:gridCol w:w="1054"/>
        <w:gridCol w:w="1054"/>
        <w:gridCol w:w="856"/>
        <w:gridCol w:w="858"/>
        <w:gridCol w:w="858"/>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20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951霸州市胜芳镇</w:t>
            </w:r>
          </w:p>
        </w:tc>
        <w:tc>
          <w:tcPr>
            <w:tcW w:w="655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4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87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6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66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8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51"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8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67" w:type="dxa"/>
            <w:vMerge w:val="continue"/>
            <w:shd w:val="clear" w:color="auto" w:fill="auto"/>
            <w:vAlign w:val="center"/>
          </w:tcPr>
          <w:p>
            <w:pPr>
              <w:spacing w:line="300" w:lineRule="exact"/>
              <w:jc w:val="left"/>
              <w:outlineLvl w:val="0"/>
            </w:pPr>
          </w:p>
        </w:tc>
        <w:tc>
          <w:tcPr>
            <w:tcW w:w="878" w:type="dxa"/>
            <w:vMerge w:val="continue"/>
            <w:shd w:val="clear" w:color="auto" w:fill="auto"/>
            <w:vAlign w:val="center"/>
          </w:tcPr>
          <w:p>
            <w:pPr>
              <w:spacing w:line="300" w:lineRule="exact"/>
              <w:jc w:val="left"/>
              <w:outlineLvl w:val="0"/>
            </w:pPr>
          </w:p>
        </w:tc>
        <w:tc>
          <w:tcPr>
            <w:tcW w:w="666" w:type="dxa"/>
            <w:vMerge w:val="continue"/>
            <w:shd w:val="clear" w:color="auto" w:fill="auto"/>
            <w:vAlign w:val="center"/>
          </w:tcPr>
          <w:p>
            <w:pPr>
              <w:spacing w:line="300" w:lineRule="exact"/>
              <w:jc w:val="left"/>
              <w:outlineLvl w:val="0"/>
            </w:pPr>
          </w:p>
        </w:tc>
        <w:tc>
          <w:tcPr>
            <w:tcW w:w="666" w:type="dxa"/>
            <w:vMerge w:val="continue"/>
            <w:shd w:val="clear" w:color="auto" w:fill="auto"/>
            <w:vAlign w:val="center"/>
          </w:tcPr>
          <w:p>
            <w:pPr>
              <w:spacing w:line="300" w:lineRule="exact"/>
              <w:jc w:val="left"/>
              <w:outlineLvl w:val="0"/>
            </w:pPr>
          </w:p>
        </w:tc>
        <w:tc>
          <w:tcPr>
            <w:tcW w:w="883" w:type="dxa"/>
            <w:vMerge w:val="continue"/>
            <w:shd w:val="clear" w:color="auto" w:fill="auto"/>
            <w:vAlign w:val="center"/>
          </w:tcPr>
          <w:p>
            <w:pPr>
              <w:spacing w:line="300" w:lineRule="exact"/>
              <w:jc w:val="left"/>
              <w:outlineLvl w:val="0"/>
            </w:pPr>
          </w:p>
        </w:tc>
        <w:tc>
          <w:tcPr>
            <w:tcW w:w="105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80"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257" w:type="dxa"/>
            <w:vMerge w:val="continue"/>
            <w:shd w:val="clear" w:color="auto" w:fill="auto"/>
            <w:vAlign w:val="center"/>
          </w:tcPr>
          <w:p>
            <w:pPr>
              <w:spacing w:line="300" w:lineRule="exact"/>
              <w:jc w:val="left"/>
              <w:outlineLvl w:val="0"/>
            </w:pPr>
          </w:p>
        </w:tc>
        <w:tc>
          <w:tcPr>
            <w:tcW w:w="984" w:type="dxa"/>
            <w:vMerge w:val="continue"/>
            <w:shd w:val="clear" w:color="auto" w:fill="auto"/>
            <w:vAlign w:val="center"/>
          </w:tcPr>
          <w:p>
            <w:pPr>
              <w:spacing w:line="300" w:lineRule="exact"/>
              <w:jc w:val="left"/>
              <w:outlineLvl w:val="0"/>
            </w:pPr>
          </w:p>
        </w:tc>
        <w:tc>
          <w:tcPr>
            <w:tcW w:w="867" w:type="dxa"/>
            <w:vMerge w:val="continue"/>
            <w:shd w:val="clear" w:color="auto" w:fill="auto"/>
            <w:vAlign w:val="center"/>
          </w:tcPr>
          <w:p>
            <w:pPr>
              <w:spacing w:line="300" w:lineRule="exact"/>
              <w:jc w:val="left"/>
              <w:outlineLvl w:val="0"/>
            </w:pPr>
          </w:p>
        </w:tc>
        <w:tc>
          <w:tcPr>
            <w:tcW w:w="878" w:type="dxa"/>
            <w:vMerge w:val="continue"/>
            <w:shd w:val="clear" w:color="auto" w:fill="auto"/>
            <w:vAlign w:val="center"/>
          </w:tcPr>
          <w:p>
            <w:pPr>
              <w:spacing w:line="300" w:lineRule="exact"/>
              <w:jc w:val="left"/>
              <w:outlineLvl w:val="0"/>
            </w:pPr>
          </w:p>
        </w:tc>
        <w:tc>
          <w:tcPr>
            <w:tcW w:w="666" w:type="dxa"/>
            <w:vMerge w:val="continue"/>
            <w:shd w:val="clear" w:color="auto" w:fill="auto"/>
            <w:vAlign w:val="center"/>
          </w:tcPr>
          <w:p>
            <w:pPr>
              <w:spacing w:line="300" w:lineRule="exact"/>
              <w:jc w:val="left"/>
              <w:outlineLvl w:val="0"/>
            </w:pPr>
          </w:p>
        </w:tc>
        <w:tc>
          <w:tcPr>
            <w:tcW w:w="666" w:type="dxa"/>
            <w:vMerge w:val="continue"/>
            <w:shd w:val="clear" w:color="auto" w:fill="auto"/>
            <w:vAlign w:val="center"/>
          </w:tcPr>
          <w:p>
            <w:pPr>
              <w:spacing w:line="300" w:lineRule="exact"/>
              <w:jc w:val="left"/>
              <w:outlineLvl w:val="0"/>
            </w:pPr>
          </w:p>
        </w:tc>
        <w:tc>
          <w:tcPr>
            <w:tcW w:w="883" w:type="dxa"/>
            <w:vMerge w:val="continue"/>
            <w:shd w:val="clear" w:color="auto" w:fill="auto"/>
            <w:vAlign w:val="center"/>
          </w:tcPr>
          <w:p>
            <w:pPr>
              <w:spacing w:line="300" w:lineRule="exact"/>
              <w:jc w:val="left"/>
              <w:outlineLvl w:val="0"/>
            </w:pPr>
          </w:p>
        </w:tc>
        <w:tc>
          <w:tcPr>
            <w:tcW w:w="1054" w:type="dxa"/>
            <w:vMerge w:val="continue"/>
            <w:shd w:val="clear" w:color="auto" w:fill="auto"/>
            <w:vAlign w:val="center"/>
          </w:tcPr>
          <w:p>
            <w:pPr>
              <w:spacing w:line="300" w:lineRule="exact"/>
              <w:jc w:val="left"/>
              <w:outlineLvl w:val="0"/>
            </w:pPr>
          </w:p>
        </w:tc>
        <w:tc>
          <w:tcPr>
            <w:tcW w:w="10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5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17"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84" w:type="dxa"/>
            <w:shd w:val="clear" w:color="auto" w:fill="auto"/>
            <w:vAlign w:val="center"/>
          </w:tcPr>
          <w:p>
            <w:pPr>
              <w:spacing w:line="300" w:lineRule="exact"/>
              <w:jc w:val="right"/>
              <w:rPr>
                <w:rFonts w:ascii="方正书宋_GBK" w:eastAsia="方正书宋_GBK"/>
                <w:b/>
              </w:rPr>
            </w:pPr>
          </w:p>
        </w:tc>
        <w:tc>
          <w:tcPr>
            <w:tcW w:w="867" w:type="dxa"/>
            <w:shd w:val="clear" w:color="auto" w:fill="auto"/>
            <w:vAlign w:val="center"/>
          </w:tcPr>
          <w:p>
            <w:pPr>
              <w:spacing w:line="300" w:lineRule="exact"/>
              <w:jc w:val="left"/>
              <w:rPr>
                <w:rFonts w:ascii="方正书宋_GBK" w:eastAsia="方正书宋_GBK"/>
                <w:b/>
              </w:rPr>
            </w:pPr>
          </w:p>
        </w:tc>
        <w:tc>
          <w:tcPr>
            <w:tcW w:w="878" w:type="dxa"/>
            <w:shd w:val="clear" w:color="auto" w:fill="auto"/>
            <w:vAlign w:val="center"/>
          </w:tcPr>
          <w:p>
            <w:pPr>
              <w:spacing w:line="300" w:lineRule="exact"/>
              <w:jc w:val="left"/>
              <w:rPr>
                <w:rFonts w:ascii="方正书宋_GBK" w:eastAsia="方正书宋_GBK"/>
                <w:b/>
              </w:rPr>
            </w:pPr>
          </w:p>
        </w:tc>
        <w:tc>
          <w:tcPr>
            <w:tcW w:w="666" w:type="dxa"/>
            <w:shd w:val="clear" w:color="auto" w:fill="auto"/>
            <w:vAlign w:val="center"/>
          </w:tcPr>
          <w:p>
            <w:pPr>
              <w:spacing w:line="300" w:lineRule="exact"/>
              <w:jc w:val="left"/>
              <w:rPr>
                <w:rFonts w:ascii="方正书宋_GBK" w:eastAsia="方正书宋_GBK"/>
                <w:b/>
              </w:rPr>
            </w:pPr>
          </w:p>
        </w:tc>
        <w:tc>
          <w:tcPr>
            <w:tcW w:w="666" w:type="dxa"/>
            <w:shd w:val="clear" w:color="auto" w:fill="auto"/>
            <w:vAlign w:val="center"/>
          </w:tcPr>
          <w:p>
            <w:pPr>
              <w:spacing w:line="300" w:lineRule="exact"/>
              <w:jc w:val="right"/>
              <w:rPr>
                <w:rFonts w:ascii="方正书宋_GBK" w:eastAsia="方正书宋_GBK"/>
                <w:b/>
              </w:rPr>
            </w:pPr>
          </w:p>
        </w:tc>
        <w:tc>
          <w:tcPr>
            <w:tcW w:w="883"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856"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81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霸州市胜芳镇人民政府小计</w:t>
            </w:r>
          </w:p>
        </w:tc>
        <w:tc>
          <w:tcPr>
            <w:tcW w:w="984" w:type="dxa"/>
            <w:shd w:val="clear" w:color="auto" w:fill="auto"/>
            <w:vAlign w:val="center"/>
          </w:tcPr>
          <w:p>
            <w:pPr>
              <w:spacing w:line="300" w:lineRule="exact"/>
              <w:jc w:val="right"/>
              <w:rPr>
                <w:rFonts w:ascii="方正书宋_GBK" w:eastAsia="方正书宋_GBK"/>
                <w:b/>
              </w:rPr>
            </w:pPr>
          </w:p>
        </w:tc>
        <w:tc>
          <w:tcPr>
            <w:tcW w:w="867" w:type="dxa"/>
            <w:shd w:val="clear" w:color="auto" w:fill="auto"/>
            <w:vAlign w:val="center"/>
          </w:tcPr>
          <w:p>
            <w:pPr>
              <w:spacing w:line="300" w:lineRule="exact"/>
              <w:jc w:val="left"/>
              <w:rPr>
                <w:rFonts w:ascii="方正书宋_GBK" w:eastAsia="方正书宋_GBK"/>
                <w:b/>
              </w:rPr>
            </w:pPr>
          </w:p>
        </w:tc>
        <w:tc>
          <w:tcPr>
            <w:tcW w:w="878" w:type="dxa"/>
            <w:shd w:val="clear" w:color="auto" w:fill="auto"/>
            <w:vAlign w:val="center"/>
          </w:tcPr>
          <w:p>
            <w:pPr>
              <w:spacing w:line="300" w:lineRule="exact"/>
              <w:jc w:val="left"/>
              <w:rPr>
                <w:rFonts w:ascii="方正书宋_GBK" w:eastAsia="方正书宋_GBK"/>
                <w:b/>
              </w:rPr>
            </w:pPr>
          </w:p>
        </w:tc>
        <w:tc>
          <w:tcPr>
            <w:tcW w:w="666" w:type="dxa"/>
            <w:shd w:val="clear" w:color="auto" w:fill="auto"/>
            <w:vAlign w:val="center"/>
          </w:tcPr>
          <w:p>
            <w:pPr>
              <w:spacing w:line="300" w:lineRule="exact"/>
              <w:jc w:val="left"/>
              <w:rPr>
                <w:rFonts w:ascii="方正书宋_GBK" w:eastAsia="方正书宋_GBK"/>
                <w:b/>
              </w:rPr>
            </w:pPr>
          </w:p>
        </w:tc>
        <w:tc>
          <w:tcPr>
            <w:tcW w:w="666" w:type="dxa"/>
            <w:shd w:val="clear" w:color="auto" w:fill="auto"/>
            <w:vAlign w:val="center"/>
          </w:tcPr>
          <w:p>
            <w:pPr>
              <w:spacing w:line="300" w:lineRule="exact"/>
              <w:jc w:val="right"/>
              <w:rPr>
                <w:rFonts w:ascii="方正书宋_GBK" w:eastAsia="方正书宋_GBK"/>
                <w:b/>
              </w:rPr>
            </w:pPr>
          </w:p>
        </w:tc>
        <w:tc>
          <w:tcPr>
            <w:tcW w:w="883"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1054" w:type="dxa"/>
            <w:shd w:val="clear" w:color="auto" w:fill="auto"/>
            <w:vAlign w:val="center"/>
          </w:tcPr>
          <w:p>
            <w:pPr>
              <w:spacing w:line="300" w:lineRule="exact"/>
              <w:jc w:val="right"/>
              <w:rPr>
                <w:rFonts w:ascii="方正书宋_GBK" w:eastAsia="方正书宋_GBK"/>
                <w:b/>
              </w:rPr>
            </w:pPr>
            <w:r>
              <w:rPr>
                <w:rFonts w:ascii="方正书宋_GBK" w:eastAsia="方正书宋_GBK"/>
                <w:b/>
              </w:rPr>
              <w:t>2904.06</w:t>
            </w:r>
          </w:p>
        </w:tc>
        <w:tc>
          <w:tcPr>
            <w:tcW w:w="856"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81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办公设备购置经费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8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信访维稳工作经费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30.87</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4.62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4.62</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关于提前下达2019年革命老区转移支付资金的通知（冀财预[2018]74号）</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创建文明城市经费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14.73</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14.73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14.73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14.73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14.73</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农村道路养护经费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18.62</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公共设施管理服务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C13</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18.62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18.62</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商城南门支路改造工程款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111.60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111.60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111.60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111.60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111.60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古镇运行维护经费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106.30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芳津道东口双桥护栏及路面改造工程款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胜芳高低压线路改造工程款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172.63</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长距离管道、通信和电力线路(电缆)铺设</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B0212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172.63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172.63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172.63</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172.63</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防汛工程款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水利工程施工</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B0209</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胜芳工业区街道两侧墙体粉刷工程款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139.00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139.00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139.00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139.00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139.00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霸州市胜芳镇陈楼路道路改造工程款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333.62</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333.62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333.62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333.62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333.62</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胜德路修补罩面工程款</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438.85</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修缮工程</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438.85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438.85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438.85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438.85</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违章拆除工作经费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公共设施管理服务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C13</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重点坑塘治理资金</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200.62</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城镇公共卫生服务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C1601</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200.62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200.62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200.62</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200.62</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开展传统文化活动经费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189.16</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7.26</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7.26</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7.26</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7.26</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开展传统文化活动经费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189.16</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开展传统文化活动经费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189.16</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151.80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151.80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151.80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151.80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文化站免费开放县级资金</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2.13</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大气污染防治经费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177.29</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空气污染治理服务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C1603</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177.29</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177.29</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177.29</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177.29</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计生工作经费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45.20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14.60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14.60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14.60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计生工作经费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45.20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15.10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15.10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环保分局散乱污企业治理经费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72.58</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C16</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72.58</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72.58</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72.58</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72.58</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儿童节教师节庆祝活动经费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儿童节教师节庆祝活动经费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儿童节教师节庆祝活动经费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校园绿化建设资金</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园林绿化管理服务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C1303</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行政服务中心运行费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66.79</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运行维护服务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行政服务中心运行费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66.79</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社会治安项目经费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188.11</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C1902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188.11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188.11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188.11</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188.11</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清北干渠河水泛红治理资金</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水污染治理服务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C1602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水利设施维护资金</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河道治理经费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水污染治理服务</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C1602</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门牌地标设置经费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5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创建文明城市经费</w:t>
            </w:r>
          </w:p>
        </w:tc>
        <w:tc>
          <w:tcPr>
            <w:tcW w:w="984" w:type="dxa"/>
            <w:shd w:val="clear" w:color="auto" w:fill="auto"/>
            <w:vAlign w:val="center"/>
          </w:tcPr>
          <w:p>
            <w:pPr>
              <w:spacing w:line="300" w:lineRule="exact"/>
              <w:jc w:val="right"/>
              <w:rPr>
                <w:rFonts w:ascii="方正书宋_GBK" w:eastAsia="方正书宋_GBK"/>
              </w:rPr>
            </w:pPr>
            <w:r>
              <w:rPr>
                <w:rFonts w:ascii="方正书宋_GBK" w:eastAsia="方正书宋_GBK"/>
              </w:rPr>
              <w:t>92.17</w:t>
            </w:r>
          </w:p>
        </w:tc>
        <w:tc>
          <w:tcPr>
            <w:tcW w:w="86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878"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66" w:type="dxa"/>
            <w:shd w:val="clear" w:color="auto" w:fill="auto"/>
            <w:vAlign w:val="center"/>
          </w:tcPr>
          <w:p>
            <w:pPr>
              <w:spacing w:line="300" w:lineRule="exact"/>
              <w:jc w:val="left"/>
              <w:rPr>
                <w:rFonts w:ascii="方正书宋_GBK" w:eastAsia="方正书宋_GBK"/>
              </w:rPr>
            </w:pPr>
          </w:p>
        </w:tc>
        <w:tc>
          <w:tcPr>
            <w:tcW w:w="666"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83" w:type="dxa"/>
            <w:shd w:val="clear" w:color="auto" w:fill="auto"/>
            <w:vAlign w:val="center"/>
          </w:tcPr>
          <w:p>
            <w:pPr>
              <w:spacing w:line="300" w:lineRule="exact"/>
              <w:jc w:val="right"/>
              <w:rPr>
                <w:rFonts w:ascii="方正书宋_GBK" w:eastAsia="方正书宋_GBK"/>
              </w:rPr>
            </w:pPr>
            <w:r>
              <w:rPr>
                <w:rFonts w:ascii="方正书宋_GBK" w:eastAsia="方正书宋_GBK"/>
              </w:rPr>
              <w:t>92.17</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92.17</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92.17</w:t>
            </w:r>
          </w:p>
        </w:tc>
        <w:tc>
          <w:tcPr>
            <w:tcW w:w="1054" w:type="dxa"/>
            <w:shd w:val="clear" w:color="auto" w:fill="auto"/>
            <w:vAlign w:val="center"/>
          </w:tcPr>
          <w:p>
            <w:pPr>
              <w:spacing w:line="300" w:lineRule="exact"/>
              <w:jc w:val="right"/>
              <w:rPr>
                <w:rFonts w:ascii="方正书宋_GBK" w:eastAsia="方正书宋_GBK"/>
              </w:rPr>
            </w:pPr>
            <w:r>
              <w:rPr>
                <w:rFonts w:ascii="方正书宋_GBK" w:eastAsia="方正书宋_GBK"/>
              </w:rPr>
              <w:t>92.17</w:t>
            </w:r>
          </w:p>
        </w:tc>
        <w:tc>
          <w:tcPr>
            <w:tcW w:w="856"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817" w:type="dxa"/>
            <w:shd w:val="clear" w:color="auto" w:fill="auto"/>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w:t>
      </w:r>
      <w:r>
        <w:rPr>
          <w:rFonts w:hint="eastAsia" w:eastAsia="仿宋_GB2312" w:cs="Times New Roman"/>
          <w:sz w:val="32"/>
          <w:szCs w:val="32"/>
        </w:rPr>
        <w:t>胜芳镇人民政府</w:t>
      </w:r>
      <w:r>
        <w:rPr>
          <w:rFonts w:hint="eastAsia" w:ascii="仿宋_GB2312" w:hAnsi="黑体" w:eastAsia="仿宋_GB2312" w:cs="Times New Roman"/>
          <w:sz w:val="32"/>
          <w:szCs w:val="32"/>
        </w:rPr>
        <w:t>上年末固定资产金额为7</w:t>
      </w:r>
      <w:r>
        <w:rPr>
          <w:rFonts w:ascii="仿宋_GB2312" w:hAnsi="黑体" w:eastAsia="仿宋_GB2312" w:cs="Times New Roman"/>
          <w:sz w:val="32"/>
          <w:szCs w:val="32"/>
        </w:rPr>
        <w:t>638.801629</w:t>
      </w:r>
      <w:r>
        <w:rPr>
          <w:rFonts w:hint="eastAsia" w:ascii="仿宋_GB2312" w:hAnsi="黑体" w:eastAsia="仿宋_GB2312" w:cs="Times New Roman"/>
          <w:sz w:val="32"/>
          <w:szCs w:val="32"/>
        </w:rPr>
        <w:t>万元（详见下表）。本年度</w:t>
      </w:r>
      <w:r>
        <w:rPr>
          <w:rFonts w:hint="eastAsia" w:eastAsia="仿宋_GB2312" w:cs="Times New Roman"/>
          <w:sz w:val="32"/>
          <w:szCs w:val="32"/>
        </w:rPr>
        <w:t>本</w:t>
      </w:r>
      <w:r>
        <w:rPr>
          <w:rFonts w:hint="eastAsia" w:ascii="仿宋_GB2312" w:hAnsi="黑体" w:eastAsia="仿宋_GB2312" w:cs="Times New Roman"/>
          <w:sz w:val="32"/>
          <w:szCs w:val="32"/>
        </w:rPr>
        <w:t>单位（处室）拟购置固定资产总额</w:t>
      </w:r>
      <w:r>
        <w:rPr>
          <w:rFonts w:ascii="仿宋_GB2312" w:hAnsi="黑体" w:eastAsia="仿宋_GB2312" w:cs="Times New Roman"/>
          <w:sz w:val="32"/>
          <w:szCs w:val="32"/>
        </w:rPr>
        <w:t>为</w:t>
      </w:r>
      <w:r>
        <w:rPr>
          <w:rFonts w:hint="eastAsia" w:ascii="仿宋_GB2312" w:hAnsi="黑体" w:eastAsia="仿宋_GB2312" w:cs="Times New Roman"/>
          <w:sz w:val="32"/>
          <w:szCs w:val="32"/>
        </w:rPr>
        <w:t>7</w:t>
      </w:r>
      <w:r>
        <w:rPr>
          <w:rFonts w:ascii="仿宋_GB2312" w:hAnsi="黑体" w:eastAsia="仿宋_GB2312" w:cs="Times New Roman"/>
          <w:sz w:val="32"/>
          <w:szCs w:val="32"/>
        </w:rPr>
        <w:t>2万元</w:t>
      </w:r>
      <w:r>
        <w:rPr>
          <w:rFonts w:hint="eastAsia" w:ascii="仿宋_GB2312" w:hAnsi="黑体" w:eastAsia="仿宋_GB2312" w:cs="Times New Roman"/>
          <w:sz w:val="32"/>
          <w:szCs w:val="32"/>
        </w:rPr>
        <w:t>，主要为计算机设备、打印设备、空调、办公家具等，已列入政府采购预算，详见政府采购</w:t>
      </w:r>
      <w:r>
        <w:rPr>
          <w:rFonts w:ascii="仿宋_GB2312" w:hAnsi="黑体" w:eastAsia="仿宋_GB2312" w:cs="Times New Roman"/>
          <w:sz w:val="32"/>
          <w:szCs w:val="32"/>
        </w:rPr>
        <w:t>预算表</w:t>
      </w:r>
      <w:r>
        <w:rPr>
          <w:rFonts w:hint="eastAsia" w:ascii="仿宋_GB2312" w:hAnsi="黑体" w:eastAsia="仿宋_GB2312" w:cs="Times New Roman"/>
          <w:sz w:val="32"/>
          <w:szCs w:val="32"/>
        </w:rPr>
        <w:t>。</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霸州市胜芳镇人民政府部门固定资产占用情况表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编制部门：9</w:t>
            </w:r>
            <w:r>
              <w:rPr>
                <w:rFonts w:ascii="宋体" w:hAnsi="宋体" w:eastAsia="宋体" w:cs="宋体"/>
                <w:kern w:val="0"/>
                <w:sz w:val="22"/>
              </w:rPr>
              <w:t>51</w:t>
            </w:r>
            <w:r>
              <w:rPr>
                <w:rFonts w:hint="eastAsia" w:ascii="宋体" w:hAnsi="宋体" w:eastAsia="宋体" w:cs="宋体"/>
                <w:kern w:val="0"/>
                <w:sz w:val="22"/>
              </w:rPr>
              <w:t>霸州市</w:t>
            </w:r>
            <w:r>
              <w:rPr>
                <w:rFonts w:ascii="宋体" w:hAnsi="宋体" w:eastAsia="宋体" w:cs="宋体"/>
                <w:kern w:val="0"/>
                <w:sz w:val="22"/>
              </w:rPr>
              <w:t>胜芳镇人民政府</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ascii="宋体" w:hAnsi="宋体" w:eastAsia="宋体" w:cs="宋体"/>
                <w:kern w:val="0"/>
                <w:sz w:val="22"/>
              </w:rPr>
              <w:t>7638.801629</w:t>
            </w:r>
          </w:p>
        </w:tc>
      </w:tr>
      <w:tr>
        <w:tblPrEx>
          <w:tblLayout w:type="fixed"/>
          <w:tblCellMar>
            <w:top w:w="0" w:type="dxa"/>
            <w:left w:w="108" w:type="dxa"/>
            <w:bottom w:w="0" w:type="dxa"/>
            <w:right w:w="108" w:type="dxa"/>
          </w:tblCellMar>
        </w:tblPrEx>
        <w:trPr>
          <w:trHeight w:val="557"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16625.41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2507.359</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16625.41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2507.359</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r>
              <w:rPr>
                <w:rFonts w:ascii="宋体" w:hAnsi="宋体" w:eastAsia="宋体" w:cs="宋体"/>
                <w:kern w:val="0"/>
                <w:sz w:val="22"/>
              </w:rPr>
              <w:t>32.7225</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2957.889989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3365</w:t>
            </w:r>
            <w:bookmarkStart w:id="7" w:name="_GoBack"/>
            <w:bookmarkEnd w:id="7"/>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1941.83014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方正楷体_GBK">
    <w:altName w:val="方正兰亭超细黑简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9"/>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5B35"/>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5A25"/>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28E1"/>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86258"/>
    <w:rsid w:val="00590472"/>
    <w:rsid w:val="00590E1C"/>
    <w:rsid w:val="005B343C"/>
    <w:rsid w:val="005B5208"/>
    <w:rsid w:val="005B7E89"/>
    <w:rsid w:val="005C0AF2"/>
    <w:rsid w:val="005C3597"/>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018"/>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258F"/>
    <w:rsid w:val="00BE4858"/>
    <w:rsid w:val="00BF7510"/>
    <w:rsid w:val="00C0018A"/>
    <w:rsid w:val="00C01825"/>
    <w:rsid w:val="00C059F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1793B"/>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876FF"/>
    <w:rsid w:val="00F958C2"/>
    <w:rsid w:val="00FA0C96"/>
    <w:rsid w:val="00FA44B3"/>
    <w:rsid w:val="00FA71CC"/>
    <w:rsid w:val="00FB64EF"/>
    <w:rsid w:val="00FB7C83"/>
    <w:rsid w:val="00FD52DC"/>
    <w:rsid w:val="00FD596F"/>
    <w:rsid w:val="00FD6519"/>
    <w:rsid w:val="00FE25D5"/>
    <w:rsid w:val="00FE2A35"/>
    <w:rsid w:val="00FF0EC6"/>
    <w:rsid w:val="00FF3F1E"/>
    <w:rsid w:val="00FF4B95"/>
    <w:rsid w:val="49B37CC1"/>
    <w:rsid w:val="592909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footnote text"/>
    <w:basedOn w:val="1"/>
    <w:link w:val="16"/>
    <w:semiHidden/>
    <w:uiPriority w:val="0"/>
    <w:pPr>
      <w:snapToGrid w:val="0"/>
      <w:jc w:val="left"/>
    </w:pPr>
    <w:rPr>
      <w:rFonts w:ascii="Times New Roman" w:hAnsi="Times New Roman" w:eastAsia="宋体" w:cs="Times New Roman"/>
      <w:sz w:val="18"/>
      <w:szCs w:val="18"/>
    </w:rPr>
  </w:style>
  <w:style w:type="paragraph" w:styleId="7">
    <w:name w:val="toc 2"/>
    <w:basedOn w:val="1"/>
    <w:next w:val="1"/>
    <w:uiPriority w:val="0"/>
    <w:pPr>
      <w:ind w:left="420" w:leftChars="200"/>
    </w:pPr>
    <w:rPr>
      <w:rFonts w:ascii="Times New Roman" w:hAnsi="Times New Roman" w:eastAsia="宋体" w:cs="Times New Roman"/>
      <w:szCs w:val="24"/>
    </w:rPr>
  </w:style>
  <w:style w:type="character" w:styleId="9">
    <w:name w:val="footnote reference"/>
    <w:semiHidden/>
    <w:uiPriority w:val="0"/>
    <w:rPr>
      <w:vertAlign w:val="superscript"/>
    </w:rPr>
  </w:style>
  <w:style w:type="character" w:customStyle="1" w:styleId="11">
    <w:name w:val="页眉 字符"/>
    <w:basedOn w:val="8"/>
    <w:link w:val="4"/>
    <w:qFormat/>
    <w:uiPriority w:val="0"/>
    <w:rPr>
      <w:rFonts w:ascii="Times New Roman" w:hAnsi="Times New Roman" w:eastAsia="宋体" w:cs="Times New Roman"/>
      <w:sz w:val="18"/>
      <w:szCs w:val="18"/>
    </w:rPr>
  </w:style>
  <w:style w:type="character" w:customStyle="1" w:styleId="12">
    <w:name w:val="页脚 字符"/>
    <w:basedOn w:val="8"/>
    <w:link w:val="3"/>
    <w:qFormat/>
    <w:uiPriority w:val="99"/>
    <w:rPr>
      <w:rFonts w:ascii="Times New Roman" w:hAnsi="Times New Roman" w:eastAsia="宋体" w:cs="Times New Roman"/>
      <w:sz w:val="18"/>
      <w:szCs w:val="18"/>
    </w:rPr>
  </w:style>
  <w:style w:type="character" w:customStyle="1" w:styleId="13">
    <w:name w:val="批注框文本 字符"/>
    <w:basedOn w:val="8"/>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5">
    <w:name w:val="Char"/>
    <w:basedOn w:val="1"/>
    <w:uiPriority w:val="0"/>
    <w:rPr>
      <w:rFonts w:ascii="Tahoma" w:hAnsi="Tahoma" w:eastAsia="宋体" w:cs="Times New Roman"/>
      <w:sz w:val="24"/>
      <w:szCs w:val="24"/>
    </w:rPr>
  </w:style>
  <w:style w:type="character" w:customStyle="1" w:styleId="16">
    <w:name w:val="脚注文本 字符"/>
    <w:basedOn w:val="8"/>
    <w:link w:val="6"/>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B0C6C-A86F-4ED5-BB74-3E686476BD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2789</Words>
  <Characters>15898</Characters>
  <Lines>132</Lines>
  <Paragraphs>37</Paragraphs>
  <TotalTime>708</TotalTime>
  <ScaleCrop>false</ScaleCrop>
  <LinksUpToDate>false</LinksUpToDate>
  <CharactersWithSpaces>18650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2019-02-21T02:02:11Z</dcterms:modified>
  <cp:revision>1385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